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671A">
      <w:pPr>
        <w:keepNext w:val="0"/>
        <w:keepLines w:val="0"/>
        <w:widowControl/>
        <w:suppressLineNumbers w:val="0"/>
        <w:jc w:val="both"/>
        <w:rPr>
          <w:rFonts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Definición </w:t>
      </w:r>
    </w:p>
    <w:p w14:paraId="55B8E8EA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La EPOC es una enfermedad respiratoria crónica y progresiva que se caracteriza por una limitación </w:t>
      </w: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persistente al flujo aéreo. Las formas clínicas principales son enfisema y bronquitis crónica. </w:t>
      </w:r>
    </w:p>
    <w:p w14:paraId="252670DC">
      <w:pPr>
        <w:keepNext w:val="0"/>
        <w:keepLines w:val="0"/>
        <w:widowControl/>
        <w:suppressLineNumbers w:val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95550" cy="1828800"/>
            <wp:effectExtent l="0" t="0" r="0" b="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7874DA">
      <w:pPr>
        <w:keepNext w:val="0"/>
        <w:keepLines w:val="0"/>
        <w:widowControl/>
        <w:suppressLineNumbers w:val="0"/>
        <w:jc w:val="both"/>
        <w:rPr>
          <w:rFonts w:ascii="SimSun" w:hAnsi="SimSun" w:eastAsia="SimSun" w:cs="SimSun"/>
          <w:sz w:val="24"/>
          <w:szCs w:val="24"/>
        </w:rPr>
      </w:pPr>
    </w:p>
    <w:p w14:paraId="1D55ADDC">
      <w:pPr>
        <w:keepNext w:val="0"/>
        <w:keepLines w:val="0"/>
        <w:widowControl/>
        <w:suppressLineNumbers w:val="0"/>
        <w:jc w:val="both"/>
        <w:rPr>
          <w:rFonts w:hint="default" w:ascii="SimSun" w:hAnsi="SimSun" w:eastAsia="SimSun" w:cs="SimSun"/>
          <w:sz w:val="24"/>
          <w:szCs w:val="24"/>
          <w:lang w:val="en-US" w:eastAsia="zh-CN"/>
        </w:rPr>
      </w:pPr>
    </w:p>
    <w:p w14:paraId="1874F804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Causas </w:t>
      </w:r>
    </w:p>
    <w:p w14:paraId="4885F453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19375" cy="1743075"/>
            <wp:effectExtent l="0" t="0" r="9525" b="9525"/>
            <wp:docPr id="9" name="Imagen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A1B2ED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Tabaquismo (principal causa) </w:t>
      </w:r>
    </w:p>
    <w:p w14:paraId="069FC46E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Contaminación ambiental </w:t>
      </w:r>
    </w:p>
    <w:p w14:paraId="5981E908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Exposición a humo de biomasa </w:t>
      </w:r>
    </w:p>
    <w:p w14:paraId="6B3A5A46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Infecciones respiratorias en la infancia </w:t>
      </w:r>
    </w:p>
    <w:p w14:paraId="71619945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Déficit de alfa-1 antitripsina </w:t>
      </w:r>
    </w:p>
    <w:p w14:paraId="7C80375D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454B4A4E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34A9A5EE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0E1E9416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5E3125DD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4CCE100A">
      <w:pPr>
        <w:keepNext w:val="0"/>
        <w:keepLines w:val="0"/>
        <w:widowControl/>
        <w:suppressLineNumbers w:val="0"/>
        <w:jc w:val="both"/>
      </w:pPr>
      <w:r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Fisiopatogenia </w:t>
      </w:r>
    </w:p>
    <w:p w14:paraId="7CABBC57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Enfisema: destrucción de los alvéolos, pérdida de elasticidad, atrapamiento de aire. </w:t>
      </w:r>
    </w:p>
    <w:p w14:paraId="51B23183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Bronquitis crónica: inflamación bronquial crónica, hipersecreción democo,obstrucción. </w:t>
      </w:r>
    </w:p>
    <w:p w14:paraId="45F83FBF">
      <w:pPr>
        <w:keepNext w:val="0"/>
        <w:keepLines w:val="0"/>
        <w:widowControl/>
        <w:suppressLineNumbers w:val="0"/>
        <w:jc w:val="both"/>
        <w:rPr>
          <w:rFonts w:hint="default" w:ascii="SimSun" w:hAnsi="SimSun" w:eastAsia="SimSun" w:cs="SimSun"/>
          <w:sz w:val="24"/>
          <w:szCs w:val="24"/>
          <w:lang w:val="en-US" w:eastAsia="zh-CN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933700" cy="1562100"/>
            <wp:effectExtent l="0" t="0" r="0" b="0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4A714A">
      <w:pPr>
        <w:keepNext w:val="0"/>
        <w:keepLines w:val="0"/>
        <w:widowControl/>
        <w:suppressLineNumbers w:val="0"/>
        <w:jc w:val="both"/>
      </w:pPr>
      <w:r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Síntomas y Signos </w:t>
      </w:r>
    </w:p>
    <w:p w14:paraId="1BD3CBE1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Disnea progresiva, tos crónica, expectoración, sibilancias. </w:t>
      </w:r>
    </w:p>
    <w:p w14:paraId="5F35C91C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Enfisema: tórax en tonel, pérdida de peso. </w:t>
      </w:r>
    </w:p>
    <w:p w14:paraId="7DA82F76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Bronquitis: tos productiva, cianosis, edema periférico. </w:t>
      </w:r>
    </w:p>
    <w:p w14:paraId="782E444F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0069880C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3EBD206D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00300" cy="1905000"/>
            <wp:effectExtent l="0" t="0" r="0" b="0"/>
            <wp:docPr id="6" name="Imagen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63774D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47BBEC75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60EF3D9A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</w:p>
    <w:p w14:paraId="509620AF">
      <w:pPr>
        <w:keepNext w:val="0"/>
        <w:keepLines w:val="0"/>
        <w:widowControl/>
        <w:suppressLineNumbers w:val="0"/>
        <w:jc w:val="both"/>
      </w:pPr>
      <w:r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Diagnóstico </w:t>
      </w:r>
    </w:p>
    <w:p w14:paraId="6C4F39A7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Espirometría (FEV1/FVC &lt; 0.7) </w:t>
      </w:r>
    </w:p>
    <w:p w14:paraId="43815622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>- Radiografía o T</w:t>
      </w: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s-AR" w:eastAsia="zh-CN" w:bidi="ar"/>
        </w:rPr>
        <w:t>A</w:t>
      </w: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C de tórax </w:t>
      </w:r>
    </w:p>
    <w:p w14:paraId="717855B9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Gasometría arterial- Dosaje de alfa-1 antitripsina si se sospecha causa genética </w:t>
      </w:r>
    </w:p>
    <w:p w14:paraId="7078A421">
      <w:pPr>
        <w:keepNext w:val="0"/>
        <w:keepLines w:val="0"/>
        <w:widowControl/>
        <w:suppressLineNumbers w:val="0"/>
        <w:jc w:val="both"/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19375" cy="1743075"/>
            <wp:effectExtent l="0" t="0" r="9525" b="9525"/>
            <wp:docPr id="5" name="Imagen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857500" cy="1600200"/>
            <wp:effectExtent l="0" t="0" r="0" b="0"/>
            <wp:docPr id="7" name="Imagen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CD8989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0C44210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EB6E64B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732DE31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3F992AA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Tratamiento </w:t>
      </w:r>
    </w:p>
    <w:p w14:paraId="421A5533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714625" cy="1685925"/>
            <wp:effectExtent l="0" t="0" r="9525" b="9525"/>
            <wp:docPr id="2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705100" cy="1685925"/>
            <wp:effectExtent l="0" t="0" r="0" b="9525"/>
            <wp:docPr id="8" name="Imagen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67529E">
      <w:pPr>
        <w:keepNext w:val="0"/>
        <w:keepLines w:val="0"/>
        <w:widowControl/>
        <w:suppressLineNumbers w:val="0"/>
        <w:jc w:val="both"/>
        <w:rPr>
          <w:rFonts w:hint="default" w:ascii="Helvetica-Bold" w:hAnsi="Helvetica-Bold" w:eastAsia="Helvetica-Bold" w:cs="Helvetica-Bold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3C57CC2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No farmacológico: dejar de fumar, vacunas, oxigenoterapia, rehabilitación </w:t>
      </w:r>
    </w:p>
    <w:p w14:paraId="78507C0A">
      <w:pPr>
        <w:keepNext w:val="0"/>
        <w:keepLines w:val="0"/>
        <w:widowControl/>
        <w:suppressLineNumbers w:val="0"/>
        <w:jc w:val="both"/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Farmacológico: broncodilatadores, corticoides inhalados, antibióticos si hay infección </w:t>
      </w:r>
    </w:p>
    <w:p w14:paraId="57A56570">
      <w:pPr>
        <w:keepNext w:val="0"/>
        <w:keepLines w:val="0"/>
        <w:widowControl/>
        <w:suppressLineNumbers w:val="0"/>
        <w:jc w:val="both"/>
        <w:rPr>
          <w:rFonts w:hint="default"/>
          <w:lang w:val="es-AR"/>
        </w:rPr>
      </w:pP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n-US" w:eastAsia="zh-CN" w:bidi="ar"/>
        </w:rPr>
        <w:t xml:space="preserve">- Exacerbaciones: corticoides orales, hospitalización </w:t>
      </w:r>
      <w:r>
        <w:rPr>
          <w:rFonts w:hint="default" w:ascii="Helvetica" w:hAnsi="Helvetica" w:eastAsia="Helvetica" w:cs="Helvetica"/>
          <w:color w:val="000000"/>
          <w:kern w:val="0"/>
          <w:sz w:val="22"/>
          <w:szCs w:val="22"/>
          <w:lang w:val="es-AR" w:eastAsia="zh-CN" w:bidi="ar"/>
        </w:rPr>
        <w:t>.</w:t>
      </w:r>
    </w:p>
    <w:p w14:paraId="3EC4C376"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50EA"/>
    <w:rsid w:val="4ED750EA"/>
    <w:rsid w:val="539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2025-05-05T14:25:00Z</dcterms:created>
  <dc:creator>cs_violetas</dc:creator>
  <cp:lastModifiedBy>cs_violetas</cp:lastModifiedBy>
  <dcterms:modified xsi:type="dcterms:W3CDTF">2025-05-05T14:37:01Z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91910B94411E438DAD99B11DCF493F76_11</vt:lpwstr>
  </property>
</Properties>
</file>